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7F" w:rsidRDefault="008F4F7F"/>
    <w:p w:rsidR="008F4F7F" w:rsidRDefault="008F4F7F" w:rsidP="008F4F7F">
      <w:pPr>
        <w:jc w:val="center"/>
        <w:rPr>
          <w:b/>
          <w:sz w:val="32"/>
          <w:szCs w:val="32"/>
        </w:rPr>
      </w:pPr>
      <w:r w:rsidRPr="008F09FC">
        <w:rPr>
          <w:rFonts w:hint="eastAsia"/>
          <w:b/>
          <w:sz w:val="32"/>
          <w:szCs w:val="32"/>
        </w:rPr>
        <w:t>高级生物化学实验</w:t>
      </w:r>
      <w:r w:rsidRPr="008F09FC">
        <w:rPr>
          <w:rFonts w:hint="eastAsia"/>
          <w:b/>
          <w:sz w:val="32"/>
          <w:szCs w:val="32"/>
        </w:rPr>
        <w:t xml:space="preserve"> 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8F4F7F" w:rsidRPr="00AE446C" w:rsidRDefault="008F4F7F" w:rsidP="008F4F7F">
      <w:pPr>
        <w:jc w:val="center"/>
        <w:rPr>
          <w:sz w:val="32"/>
          <w:szCs w:val="32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8F4F7F" w:rsidP="00A724E5">
            <w:r w:rsidRPr="008F4F7F">
              <w:t>BI285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1.5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63128E" w:rsidP="007C626D">
            <w:pPr>
              <w:jc w:val="left"/>
            </w:pPr>
            <w:r>
              <w:rPr>
                <w:rFonts w:hint="eastAsia"/>
              </w:rPr>
              <w:t>高级</w:t>
            </w:r>
            <w:r w:rsidR="00331370" w:rsidRPr="00EF070F">
              <w:rPr>
                <w:rFonts w:hint="eastAsia"/>
              </w:rPr>
              <w:t>生物化学</w:t>
            </w:r>
            <w:r w:rsidR="006537E3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8F09FC" w:rsidP="007C626D">
            <w:pPr>
              <w:jc w:val="left"/>
            </w:pPr>
            <w:r>
              <w:rPr>
                <w:rFonts w:hint="eastAsia"/>
              </w:rPr>
              <w:t xml:space="preserve">Advanced </w:t>
            </w:r>
            <w:r w:rsidR="00331370" w:rsidRPr="00EF070F">
              <w:rPr>
                <w:rFonts w:hint="eastAsia"/>
              </w:rPr>
              <w:t>Biochemistry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AE446C" w:rsidP="00AE446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专业基础实验课</w:t>
            </w:r>
          </w:p>
        </w:tc>
      </w:tr>
      <w:tr w:rsidR="008F4F7F" w:rsidTr="00565461">
        <w:trPr>
          <w:trHeight w:val="700"/>
        </w:trPr>
        <w:tc>
          <w:tcPr>
            <w:tcW w:w="1805" w:type="dxa"/>
            <w:vAlign w:val="center"/>
          </w:tcPr>
          <w:p w:rsidR="008F4F7F" w:rsidRPr="007267F5" w:rsidRDefault="008F4F7F" w:rsidP="008F4F7F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8F4F7F" w:rsidRDefault="008F4F7F" w:rsidP="008F4F7F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F4F7F" w:rsidRPr="00EF070F" w:rsidRDefault="008F09FC" w:rsidP="00AE446C">
            <w:pPr>
              <w:jc w:val="center"/>
            </w:pPr>
            <w:r>
              <w:rPr>
                <w:rFonts w:hint="eastAsia"/>
              </w:rPr>
              <w:t>生命学院本科生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1D2171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1D2171">
            <w:pPr>
              <w:jc w:val="center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AE446C">
            <w:pPr>
              <w:jc w:val="center"/>
            </w:pPr>
            <w:r w:rsidRPr="00EF070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AE446C">
            <w:pPr>
              <w:jc w:val="center"/>
            </w:pPr>
            <w:r w:rsidRPr="00EF070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8F09FC" w:rsidP="00AE446C">
            <w:pPr>
              <w:jc w:val="center"/>
            </w:pPr>
            <w:r>
              <w:rPr>
                <w:rFonts w:hint="eastAsia"/>
              </w:rPr>
              <w:t>生物化学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丛峰松、郑有丽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2768CD" w:rsidP="007C626D">
            <w:pPr>
              <w:jc w:val="center"/>
            </w:pPr>
            <w:hyperlink r:id="rId7" w:history="1">
              <w:r w:rsidR="00331370" w:rsidRPr="00EF070F">
                <w:rPr>
                  <w:rFonts w:hint="eastAsia"/>
                </w:rPr>
                <w:t>fscong@sjtu.edu.cn</w:t>
              </w:r>
            </w:hyperlink>
            <w:r w:rsidR="00331370" w:rsidRPr="00EF070F">
              <w:rPr>
                <w:rFonts w:hint="eastAsia"/>
              </w:rPr>
              <w:t>、</w:t>
            </w:r>
            <w:r w:rsidR="00331370" w:rsidRPr="00EF070F">
              <w:rPr>
                <w:rFonts w:hint="eastAsia"/>
              </w:rPr>
              <w:t>zylji@sjtu.edu.cn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 w:rsidR="008F09FC">
              <w:rPr>
                <w:rFonts w:hint="eastAsia"/>
              </w:rPr>
              <w:t>4:30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331370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31370" w:rsidRDefault="001D2171" w:rsidP="00331370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kern w:val="0"/>
              </w:rPr>
              <w:t>b</w:t>
            </w:r>
            <w:r w:rsidR="008F09FC">
              <w:rPr>
                <w:kern w:val="0"/>
              </w:rPr>
              <w:t xml:space="preserve">cl.sjtu.edu.cn; </w:t>
            </w:r>
            <w:r w:rsidR="008F09FC">
              <w:rPr>
                <w:rFonts w:hint="eastAsia"/>
                <w:kern w:val="0"/>
              </w:rPr>
              <w:t>好大学在线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2171" w:rsidP="00255F4A">
            <w:pPr>
              <w:ind w:firstLineChars="200" w:firstLine="420"/>
            </w:pPr>
            <w:r>
              <w:rPr>
                <w:rFonts w:hint="eastAsia"/>
              </w:rPr>
              <w:t>高级</w:t>
            </w:r>
            <w:r w:rsidRPr="00776961">
              <w:rPr>
                <w:rFonts w:hint="eastAsia"/>
              </w:rPr>
              <w:t>生物学实验</w:t>
            </w:r>
            <w:r>
              <w:rPr>
                <w:rFonts w:hint="eastAsia"/>
              </w:rPr>
              <w:t>是一门</w:t>
            </w:r>
            <w:r w:rsidRPr="00776961">
              <w:rPr>
                <w:rFonts w:hint="eastAsia"/>
              </w:rPr>
              <w:t>综合性、设计性和科研转化实验</w:t>
            </w:r>
            <w:r>
              <w:rPr>
                <w:rFonts w:hint="eastAsia"/>
              </w:rPr>
              <w:t>课程。本课程开设的目的是</w:t>
            </w:r>
            <w:r w:rsidRPr="00776961">
              <w:rPr>
                <w:rFonts w:hint="eastAsia"/>
              </w:rPr>
              <w:t>培养学生开拓创新能力，实验设计能力，以及科学论文写作能力。通过综合项目研究，培养学生</w:t>
            </w:r>
            <w:r w:rsidRPr="00776961">
              <w:t>观察、比较、分析等科学思维能力</w:t>
            </w:r>
            <w:r w:rsidRPr="00776961">
              <w:rPr>
                <w:rFonts w:hint="eastAsia"/>
              </w:rPr>
              <w:t>，独立</w:t>
            </w:r>
            <w:r w:rsidRPr="00776961">
              <w:t>探索</w:t>
            </w:r>
            <w:r w:rsidRPr="00776961">
              <w:rPr>
                <w:rFonts w:hint="eastAsia"/>
              </w:rPr>
              <w:t>和团队合作的</w:t>
            </w:r>
            <w:r w:rsidRPr="00776961">
              <w:t>能力</w:t>
            </w:r>
            <w:r w:rsidRPr="00776961">
              <w:rPr>
                <w:rFonts w:hint="eastAsia"/>
              </w:rPr>
              <w:t>，以及</w:t>
            </w:r>
            <w:r w:rsidRPr="00776961">
              <w:t>实事求是的科学作风</w:t>
            </w:r>
            <w:r w:rsidRPr="00776961">
              <w:rPr>
                <w:rFonts w:hint="eastAsia"/>
              </w:rPr>
              <w:t>和良好的科研素质。通过该课程的学习，学生可以接触到更多代生物技术的前沿和热点，为今后独立开展科研工作打下坚实的基础，为培养现代生命科学领域优秀拔尖人才奠定基础。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2171" w:rsidP="00255F4A">
            <w:pPr>
              <w:ind w:firstLineChars="200" w:firstLine="420"/>
              <w:jc w:val="left"/>
            </w:pPr>
            <w:r>
              <w:rPr>
                <w:rFonts w:hint="eastAsia"/>
              </w:rPr>
              <w:t>Advanced b</w:t>
            </w:r>
            <w:r w:rsidRPr="00841457">
              <w:t xml:space="preserve">iology experiment contains three modules: comprehensive, designing and reseach experiments. The integrated experiment </w:t>
            </w:r>
            <w:r>
              <w:rPr>
                <w:rFonts w:hint="eastAsia"/>
              </w:rPr>
              <w:t>aims to</w:t>
            </w:r>
            <w:r w:rsidRPr="00841457">
              <w:t xml:space="preserve"> foster the students’ ability to observe, compare</w:t>
            </w:r>
            <w:r>
              <w:rPr>
                <w:rFonts w:hint="eastAsia"/>
              </w:rPr>
              <w:t xml:space="preserve"> and</w:t>
            </w:r>
            <w:r w:rsidRPr="00841457">
              <w:t xml:space="preserve"> analyze. It also promote</w:t>
            </w:r>
            <w:r w:rsidRPr="00841457">
              <w:rPr>
                <w:rFonts w:hint="eastAsia"/>
              </w:rPr>
              <w:t>s</w:t>
            </w:r>
            <w:r w:rsidRPr="00841457">
              <w:t xml:space="preserve"> the students’ capability to explore independently, co-operate in teamwork and their better quality in scientific research. Through the study of this course, students have more access to frontier and ho</w:t>
            </w:r>
            <w:r>
              <w:t>t spots of modern biotechnology</w:t>
            </w:r>
            <w:r w:rsidRPr="00841457">
              <w:t xml:space="preserve">, which lays a solid foundation for students of scientific work in future and cultivates modern life science outstanding </w:t>
            </w:r>
            <w:r w:rsidRPr="00841457">
              <w:lastRenderedPageBreak/>
              <w:t>talents.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97F45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F070F" w:rsidRDefault="0074127F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t>*</w:t>
            </w:r>
            <w:r w:rsidR="001D0BF5" w:rsidRPr="00EF070F">
              <w:rPr>
                <w:rFonts w:ascii="楷体_GB2312" w:eastAsia="楷体_GB2312" w:hint="eastAsia"/>
                <w:sz w:val="24"/>
              </w:rPr>
              <w:t>学习目标(Learning Outcomes)</w:t>
            </w:r>
          </w:p>
        </w:tc>
        <w:tc>
          <w:tcPr>
            <w:tcW w:w="7518" w:type="dxa"/>
            <w:gridSpan w:val="7"/>
            <w:vAlign w:val="center"/>
          </w:tcPr>
          <w:p w:rsidR="00AE52E8" w:rsidRDefault="00AE52E8" w:rsidP="00AE52E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1. 系统学习和了解高级生物化学实验相关技术；</w:t>
            </w:r>
          </w:p>
          <w:p w:rsidR="00AE52E8" w:rsidRDefault="00AE52E8" w:rsidP="00AE52E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2. 熟练掌握高级生物化学实验操作技能；</w:t>
            </w:r>
          </w:p>
          <w:p w:rsidR="00AE52E8" w:rsidRDefault="00AE52E8" w:rsidP="00AE52E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3. 培养学生创新思维、团队协作、发现问题和解决问题的能力。</w:t>
            </w:r>
          </w:p>
          <w:p w:rsidR="00AE52E8" w:rsidRDefault="00AE52E8" w:rsidP="001814C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4. 培养学生文献阅读和书写科</w:t>
            </w:r>
            <w:r w:rsidR="00913C89"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研</w:t>
            </w:r>
            <w:r w:rsidR="00851B55"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小论文能力、以及科研记录习惯。</w:t>
            </w:r>
          </w:p>
          <w:p w:rsidR="00AE52E8" w:rsidRPr="00EF070F" w:rsidRDefault="00913C89" w:rsidP="004C45B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5. 锻炼学生</w:t>
            </w:r>
            <w:r w:rsidR="004C45B4"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科学演讲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口头表达能力。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687"/>
              <w:gridCol w:w="1072"/>
              <w:gridCol w:w="1217"/>
              <w:gridCol w:w="1843"/>
              <w:gridCol w:w="603"/>
            </w:tblGrid>
            <w:tr w:rsidR="000A548F" w:rsidRPr="007913B0" w:rsidTr="00115987">
              <w:tc>
                <w:tcPr>
                  <w:tcW w:w="1456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21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843" w:type="dxa"/>
                </w:tcPr>
                <w:p w:rsidR="000A548F" w:rsidRPr="007913B0" w:rsidRDefault="000A548F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603" w:type="dxa"/>
                </w:tcPr>
                <w:p w:rsidR="000A548F" w:rsidRPr="007913B0" w:rsidRDefault="00FC687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</w:t>
                  </w:r>
                  <w:r w:rsidR="000A548F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0A548F" w:rsidRPr="007913B0" w:rsidTr="00115987">
              <w:tc>
                <w:tcPr>
                  <w:tcW w:w="1456" w:type="dxa"/>
                </w:tcPr>
                <w:p w:rsidR="000A548F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实验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前</w:t>
                  </w: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准备</w:t>
                  </w:r>
                </w:p>
              </w:tc>
              <w:tc>
                <w:tcPr>
                  <w:tcW w:w="687" w:type="dxa"/>
                </w:tcPr>
                <w:p w:rsidR="000A548F" w:rsidRPr="007913B0" w:rsidRDefault="006754B0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802F4C" w:rsidRPr="007913B0" w:rsidRDefault="00802F4C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>
                    <w:rPr>
                      <w:rFonts w:hint="eastAsia"/>
                      <w:kern w:val="0"/>
                      <w:sz w:val="18"/>
                      <w:szCs w:val="18"/>
                    </w:rPr>
                    <w:t>了解实验的总体安排及实验前期准备。</w:t>
                  </w:r>
                </w:p>
                <w:p w:rsidR="000A548F" w:rsidRPr="007913B0" w:rsidRDefault="00802F4C" w:rsidP="004A6AF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63128E">
                    <w:rPr>
                      <w:rFonts w:hint="eastAsia"/>
                      <w:kern w:val="0"/>
                      <w:sz w:val="18"/>
                      <w:szCs w:val="18"/>
                    </w:rPr>
                    <w:t>复习掌握生化实验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操作技术。</w:t>
                  </w:r>
                </w:p>
              </w:tc>
              <w:tc>
                <w:tcPr>
                  <w:tcW w:w="603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A7AA9" w:rsidRPr="007913B0" w:rsidTr="00115987">
              <w:tc>
                <w:tcPr>
                  <w:tcW w:w="1456" w:type="dxa"/>
                </w:tcPr>
                <w:p w:rsidR="001A7AA9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PCR扩增目的基因及琼脂糖凝胶电泳鉴定</w:t>
                  </w:r>
                </w:p>
              </w:tc>
              <w:tc>
                <w:tcPr>
                  <w:tcW w:w="687" w:type="dxa"/>
                </w:tcPr>
                <w:p w:rsidR="001A7AA9" w:rsidRPr="007913B0" w:rsidRDefault="0063128E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1A7AA9" w:rsidRPr="001263B7" w:rsidRDefault="001A7AA9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02F4C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掌握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PCR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基因扩增的原理和操作方法</w:t>
                  </w:r>
                  <w:r w:rsid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。</w:t>
                  </w:r>
                </w:p>
                <w:p w:rsidR="001A7AA9" w:rsidRPr="0063128E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学习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琼脂糖凝胶电泳，制胶、上样、拍照等操作方法。</w:t>
                  </w:r>
                </w:p>
              </w:tc>
              <w:tc>
                <w:tcPr>
                  <w:tcW w:w="603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E2B53">
              <w:tc>
                <w:tcPr>
                  <w:tcW w:w="1456" w:type="dxa"/>
                </w:tcPr>
                <w:p w:rsidR="00EA1EEA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目的基因与质粒载体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的连接和</w:t>
                  </w: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转化</w:t>
                  </w:r>
                </w:p>
              </w:tc>
              <w:tc>
                <w:tcPr>
                  <w:tcW w:w="687" w:type="dxa"/>
                </w:tcPr>
                <w:p w:rsidR="00EA1EEA" w:rsidRPr="007913B0" w:rsidRDefault="0063128E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92C4E" w:rsidRPr="0063128E" w:rsidRDefault="00892C4E" w:rsidP="00892C4E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>
                    <w:rPr>
                      <w:rFonts w:ascii="楷体" w:eastAsia="楷体" w:hAnsi="楷体" w:hint="eastAsia"/>
                      <w:szCs w:val="21"/>
                    </w:rPr>
                    <w:t xml:space="preserve"> </w:t>
                  </w:r>
                  <w:r w:rsidR="0063128E" w:rsidRPr="0063128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掌握质粒载体体外连接转化操作</w:t>
                  </w:r>
                  <w:r w:rsidR="0063128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。</w:t>
                  </w:r>
                </w:p>
                <w:p w:rsidR="005902D9" w:rsidRPr="00892C4E" w:rsidRDefault="00892C4E" w:rsidP="00115987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115987">
                    <w:rPr>
                      <w:rFonts w:hint="eastAsia"/>
                      <w:kern w:val="0"/>
                      <w:sz w:val="18"/>
                      <w:szCs w:val="18"/>
                    </w:rPr>
                    <w:t>了解感受态细胞的制备。</w:t>
                  </w:r>
                  <w:r w:rsidR="00115987" w:rsidRPr="00892C4E">
                    <w:rPr>
                      <w:rFonts w:ascii="楷体_GB2312" w:eastAsia="楷体_GB2312"/>
                      <w:sz w:val="24"/>
                    </w:rPr>
                    <w:t xml:space="preserve"> 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115987" w:rsidRDefault="001159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="宋体" w:hAnsi="宋体" w:hint="eastAsia"/>
                      <w:sz w:val="18"/>
                      <w:szCs w:val="18"/>
                    </w:rPr>
                    <w:t>阳性重组子的鉴定——质粒DNA抽提、双酶切及电泳鉴定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1159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0E054A" w:rsidRPr="00115987" w:rsidRDefault="000E054A" w:rsidP="000E054A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掌握碱裂解法分离纯化质粒DNA</w:t>
                  </w:r>
                  <w:r w:rsidR="00115987" w:rsidRPr="00115987">
                    <w:rPr>
                      <w:rFonts w:asciiTheme="minorEastAsia" w:hAnsiTheme="minorEastAsia"/>
                      <w:sz w:val="18"/>
                      <w:szCs w:val="18"/>
                    </w:rPr>
                    <w:t>。</w:t>
                  </w:r>
                </w:p>
                <w:p w:rsidR="00EA1EEA" w:rsidRPr="000E054A" w:rsidRDefault="000E054A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了解限制性内切酶酶切原理。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115987" w:rsidRDefault="00B82834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携带有目标蛋白基因质粒的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菌种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的</w:t>
                  </w:r>
                  <w:r w:rsidR="00115987" w:rsidRPr="00115987">
                    <w:rPr>
                      <w:rFonts w:ascii="宋体" w:hAnsi="宋体" w:hint="eastAsia"/>
                      <w:sz w:val="18"/>
                      <w:szCs w:val="18"/>
                    </w:rPr>
                    <w:t>活化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和培养</w:t>
                  </w:r>
                  <w:r w:rsidR="00115987" w:rsidRPr="00115987">
                    <w:rPr>
                      <w:rFonts w:ascii="宋体" w:hAnsi="宋体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87" w:type="dxa"/>
                </w:tcPr>
                <w:p w:rsidR="00EA1EEA" w:rsidRPr="007913B0" w:rsidRDefault="001159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EA1EEA" w:rsidRPr="00D73687" w:rsidRDefault="00892C4E" w:rsidP="00892C4E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1159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蛋白实验全局设计安排实验工作。</w:t>
                  </w:r>
                </w:p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1159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了解重组蛋白表达的方法和意义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D73687" w:rsidRDefault="00D736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>重组蛋白的诱导表达，</w:t>
                  </w:r>
                  <w:r w:rsidRPr="00D73687">
                    <w:rPr>
                      <w:bCs/>
                      <w:sz w:val="18"/>
                      <w:szCs w:val="18"/>
                    </w:rPr>
                    <w:t>4</w:t>
                  </w:r>
                  <w:r w:rsidRPr="00D73687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℃</w:t>
                  </w:r>
                  <w:r w:rsidRPr="00D73687">
                    <w:rPr>
                      <w:rFonts w:hint="eastAsia"/>
                      <w:sz w:val="18"/>
                      <w:szCs w:val="18"/>
                    </w:rPr>
                    <w:t>离</w:t>
                  </w:r>
                  <w:r w:rsidRPr="00D73687">
                    <w:rPr>
                      <w:rFonts w:hint="eastAsia"/>
                      <w:sz w:val="18"/>
                      <w:szCs w:val="18"/>
                    </w:rPr>
                    <w:lastRenderedPageBreak/>
                    <w:t>心</w:t>
                  </w: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 xml:space="preserve">收集菌体并保存  </w:t>
                  </w:r>
                </w:p>
              </w:tc>
              <w:tc>
                <w:tcPr>
                  <w:tcW w:w="687" w:type="dxa"/>
                </w:tcPr>
                <w:p w:rsidR="00EA1EEA" w:rsidRPr="007913B0" w:rsidRDefault="006754B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0E054A" w:rsidRPr="00D73687" w:rsidRDefault="000E054A" w:rsidP="000E054A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D73687" w:rsidRPr="00D73687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了解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重组蛋白在表达载体中的表达及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lastRenderedPageBreak/>
                    <w:t>控制方法</w:t>
                  </w:r>
                </w:p>
                <w:p w:rsidR="00EA1EEA" w:rsidRPr="000E054A" w:rsidRDefault="000E054A" w:rsidP="000E054A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学会使用低温高速离心机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D73687" w:rsidRDefault="00D736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菌体裂解、</w:t>
                  </w:r>
                  <w:r w:rsidRPr="00D73687"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亲和层析</w:t>
                  </w: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>分离纯化重组蛋白</w:t>
                  </w:r>
                </w:p>
              </w:tc>
              <w:tc>
                <w:tcPr>
                  <w:tcW w:w="687" w:type="dxa"/>
                </w:tcPr>
                <w:p w:rsidR="00EA1EEA" w:rsidRPr="007913B0" w:rsidRDefault="00D736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0E054A" w:rsidRPr="000E054A" w:rsidRDefault="00BF7F51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D73687">
                    <w:rPr>
                      <w:rFonts w:ascii="楷体" w:eastAsia="楷体" w:hAnsi="楷体" w:hint="eastAsia"/>
                      <w:szCs w:val="21"/>
                    </w:rPr>
                    <w:t xml:space="preserve"> 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掌握Ni-NTA 树脂变性</w:t>
                  </w:r>
                  <w:r w:rsidR="00D73687" w:rsidRPr="00D73687">
                    <w:rPr>
                      <w:rFonts w:asciiTheme="minorEastAsia" w:hAnsiTheme="minorEastAsia" w:hint="eastAsia"/>
                      <w:bCs/>
                      <w:sz w:val="18"/>
                      <w:szCs w:val="18"/>
                    </w:rPr>
                    <w:t>亲和纯化蛋白方法。</w:t>
                  </w:r>
                </w:p>
                <w:p w:rsidR="00EA1EE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9C21B3">
                    <w:rPr>
                      <w:rFonts w:hint="eastAsia"/>
                      <w:kern w:val="0"/>
                      <w:sz w:val="18"/>
                      <w:szCs w:val="18"/>
                    </w:rPr>
                    <w:t>学会柱层析操作方法。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C9342F" w:rsidRDefault="009C21B3" w:rsidP="00996D21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C9342F">
                    <w:rPr>
                      <w:rFonts w:ascii="宋体" w:hAnsi="宋体" w:hint="eastAsia"/>
                      <w:sz w:val="18"/>
                      <w:szCs w:val="18"/>
                    </w:rPr>
                    <w:t>SDS--聚丙烯酰胺凝胶电泳分析</w:t>
                  </w:r>
                  <w:r w:rsidR="00996D21" w:rsidRPr="00C9342F">
                    <w:rPr>
                      <w:rFonts w:ascii="宋体" w:hAnsi="宋体" w:hint="eastAsia"/>
                      <w:sz w:val="18"/>
                      <w:szCs w:val="18"/>
                    </w:rPr>
                    <w:t>鉴定</w:t>
                  </w:r>
                  <w:r w:rsidR="00996D21">
                    <w:rPr>
                      <w:rFonts w:ascii="宋体" w:hAnsi="宋体" w:hint="eastAsia"/>
                      <w:sz w:val="18"/>
                      <w:szCs w:val="18"/>
                    </w:rPr>
                    <w:t>目标蛋白</w:t>
                  </w:r>
                </w:p>
              </w:tc>
              <w:tc>
                <w:tcPr>
                  <w:tcW w:w="687" w:type="dxa"/>
                </w:tcPr>
                <w:p w:rsidR="00EA1EEA" w:rsidRPr="007913B0" w:rsidRDefault="009C21B3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EA1EEA" w:rsidRPr="009C21B3" w:rsidRDefault="009C21B3" w:rsidP="009C21B3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C21B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1.学习聚丙烯酰胺凝胶电泳原理。</w:t>
                  </w:r>
                </w:p>
                <w:p w:rsidR="009C21B3" w:rsidRPr="009C21B3" w:rsidRDefault="009C21B3" w:rsidP="009C21B3">
                  <w:pPr>
                    <w:rPr>
                      <w:kern w:val="0"/>
                      <w:sz w:val="18"/>
                      <w:szCs w:val="18"/>
                    </w:rPr>
                  </w:pPr>
                  <w:r w:rsidRPr="009C21B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2.掌握聚丙烯酰胺凝胶垂直板电泳的操作技术。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E2B53" w:rsidRPr="007913B0" w:rsidTr="00115987">
              <w:tc>
                <w:tcPr>
                  <w:tcW w:w="1456" w:type="dxa"/>
                </w:tcPr>
                <w:p w:rsidR="001E2B53" w:rsidRPr="00C9342F" w:rsidRDefault="001E2B53" w:rsidP="009D1532">
                  <w:pPr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重组表达蛋白活性的鉴定</w:t>
                  </w:r>
                </w:p>
              </w:tc>
              <w:tc>
                <w:tcPr>
                  <w:tcW w:w="687" w:type="dxa"/>
                </w:tcPr>
                <w:p w:rsidR="001E2B53" w:rsidRDefault="001E2B53" w:rsidP="009D1532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1E2B53" w:rsidRPr="007913B0" w:rsidRDefault="001E2B53" w:rsidP="009D1532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1E2B53" w:rsidRPr="007913B0" w:rsidRDefault="001E2B53" w:rsidP="009D1532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1E2B53" w:rsidRPr="009C21B3" w:rsidRDefault="001E2B53" w:rsidP="009D153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1.学习重组蛋白活性的测定方法</w:t>
                  </w:r>
                </w:p>
              </w:tc>
              <w:tc>
                <w:tcPr>
                  <w:tcW w:w="603" w:type="dxa"/>
                </w:tcPr>
                <w:p w:rsidR="001E2B53" w:rsidRPr="007913B0" w:rsidRDefault="001E2B53" w:rsidP="009D1532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</w:tbl>
          <w:p w:rsidR="001C7AD8" w:rsidRPr="007913B0" w:rsidRDefault="001C7AD8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(</w:t>
            </w:r>
            <w:r w:rsidR="00823ACC"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每个内容均可点击、弹出注释、提示框，对需要填写内容进行详尽解释</w:t>
            </w:r>
            <w:r w:rsidR="00FC687D" w:rsidRPr="007913B0">
              <w:rPr>
                <w:rFonts w:hint="eastAsia"/>
                <w:kern w:val="0"/>
                <w:sz w:val="18"/>
                <w:szCs w:val="18"/>
              </w:rPr>
              <w:t>，考查方式对应具体教学内容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255F4A" w:rsidRPr="00255F4A" w:rsidRDefault="00255F4A" w:rsidP="00255F4A">
            <w:pPr>
              <w:spacing w:line="480" w:lineRule="auto"/>
              <w:ind w:firstLineChars="200" w:firstLine="360"/>
              <w:rPr>
                <w:rFonts w:ascii="Calibri" w:eastAsia="宋体" w:hAnsi="宋体" w:cs="Times New Roman"/>
                <w:sz w:val="18"/>
                <w:szCs w:val="18"/>
              </w:rPr>
            </w:pP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平时实验成绩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30%</w:t>
            </w:r>
            <w:r>
              <w:rPr>
                <w:rFonts w:hAnsi="宋体" w:hint="eastAsia"/>
                <w:sz w:val="18"/>
                <w:szCs w:val="18"/>
              </w:rPr>
              <w:t>+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实验报告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30%</w:t>
            </w:r>
            <w:r>
              <w:rPr>
                <w:rFonts w:hAnsi="宋体" w:hint="eastAsia"/>
                <w:sz w:val="18"/>
                <w:szCs w:val="18"/>
              </w:rPr>
              <w:t>+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实时记录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15%</w:t>
            </w:r>
            <w:r>
              <w:rPr>
                <w:rFonts w:hAnsi="宋体" w:hint="eastAsia"/>
                <w:sz w:val="18"/>
                <w:szCs w:val="18"/>
              </w:rPr>
              <w:t>+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出勤卫生纪律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15%</w:t>
            </w:r>
            <w:r>
              <w:rPr>
                <w:rFonts w:hAnsi="宋体" w:hint="eastAsia"/>
                <w:sz w:val="18"/>
                <w:szCs w:val="18"/>
              </w:rPr>
              <w:t>+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总结汇报</w:t>
            </w:r>
            <w:r w:rsidRPr="00255F4A">
              <w:rPr>
                <w:rFonts w:ascii="Calibri" w:eastAsia="宋体" w:hAnsi="宋体" w:cs="Times New Roman" w:hint="eastAsia"/>
                <w:sz w:val="18"/>
                <w:szCs w:val="18"/>
              </w:rPr>
              <w:t>10%</w:t>
            </w:r>
          </w:p>
          <w:p w:rsidR="000A548F" w:rsidRPr="007913B0" w:rsidRDefault="000A548F" w:rsidP="00D42B5E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《生物化学实验》，主编：丛峰松，上海交通大学出版社，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0A548F" w:rsidRP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, Handout: Shanghai Jiaotong Univesity.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EF070F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5C087F" w:rsidRDefault="00EF070F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255F4A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F4F7F" w:rsidRDefault="008F4F7F" w:rsidP="008F4F7F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8F4F7F" w:rsidRPr="00565461" w:rsidRDefault="008F4F7F" w:rsidP="008F4F7F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8F4F7F" w:rsidRDefault="001D0BF5" w:rsidP="009A0D3D">
      <w:pPr>
        <w:spacing w:line="400" w:lineRule="exact"/>
        <w:ind w:firstLineChars="200" w:firstLine="420"/>
      </w:pPr>
    </w:p>
    <w:sectPr w:rsidR="001D0BF5" w:rsidRPr="008F4F7F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CD" w:rsidRDefault="002768CD" w:rsidP="00577ECF">
      <w:r>
        <w:separator/>
      </w:r>
    </w:p>
  </w:endnote>
  <w:endnote w:type="continuationSeparator" w:id="0">
    <w:p w:rsidR="002768CD" w:rsidRDefault="002768C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CD" w:rsidRDefault="002768CD" w:rsidP="00577ECF">
      <w:r>
        <w:separator/>
      </w:r>
    </w:p>
  </w:footnote>
  <w:footnote w:type="continuationSeparator" w:id="0">
    <w:p w:rsidR="002768CD" w:rsidRDefault="002768C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FA8"/>
    <w:multiLevelType w:val="hybridMultilevel"/>
    <w:tmpl w:val="2786A066"/>
    <w:lvl w:ilvl="0" w:tplc="33EE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327E5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0E054A"/>
    <w:rsid w:val="001117F5"/>
    <w:rsid w:val="00115987"/>
    <w:rsid w:val="00124F58"/>
    <w:rsid w:val="001263B7"/>
    <w:rsid w:val="00133ABB"/>
    <w:rsid w:val="001473BE"/>
    <w:rsid w:val="00152B75"/>
    <w:rsid w:val="001552DE"/>
    <w:rsid w:val="00160181"/>
    <w:rsid w:val="001632B0"/>
    <w:rsid w:val="0017725A"/>
    <w:rsid w:val="001814C3"/>
    <w:rsid w:val="001972B0"/>
    <w:rsid w:val="001A4FE4"/>
    <w:rsid w:val="001A7AA9"/>
    <w:rsid w:val="001C7AD8"/>
    <w:rsid w:val="001D0B19"/>
    <w:rsid w:val="001D0BF5"/>
    <w:rsid w:val="001D2171"/>
    <w:rsid w:val="001E2B53"/>
    <w:rsid w:val="001E42A8"/>
    <w:rsid w:val="001E74EA"/>
    <w:rsid w:val="00200AA4"/>
    <w:rsid w:val="00204F42"/>
    <w:rsid w:val="00207DEF"/>
    <w:rsid w:val="00227A34"/>
    <w:rsid w:val="002524F9"/>
    <w:rsid w:val="00255F4A"/>
    <w:rsid w:val="0026569D"/>
    <w:rsid w:val="002768CD"/>
    <w:rsid w:val="0028182B"/>
    <w:rsid w:val="0028463A"/>
    <w:rsid w:val="002A157D"/>
    <w:rsid w:val="002A6549"/>
    <w:rsid w:val="002A7980"/>
    <w:rsid w:val="002B6537"/>
    <w:rsid w:val="002E5BD2"/>
    <w:rsid w:val="003036D4"/>
    <w:rsid w:val="003237D3"/>
    <w:rsid w:val="00331370"/>
    <w:rsid w:val="00341B48"/>
    <w:rsid w:val="00341CDD"/>
    <w:rsid w:val="00366702"/>
    <w:rsid w:val="003715C0"/>
    <w:rsid w:val="00377008"/>
    <w:rsid w:val="003948E3"/>
    <w:rsid w:val="00395246"/>
    <w:rsid w:val="003D10F5"/>
    <w:rsid w:val="003E65CC"/>
    <w:rsid w:val="00424BC1"/>
    <w:rsid w:val="00445357"/>
    <w:rsid w:val="00446816"/>
    <w:rsid w:val="00461685"/>
    <w:rsid w:val="00463362"/>
    <w:rsid w:val="00474457"/>
    <w:rsid w:val="00487AD7"/>
    <w:rsid w:val="004921CE"/>
    <w:rsid w:val="004A6AFC"/>
    <w:rsid w:val="004C45B4"/>
    <w:rsid w:val="004D4153"/>
    <w:rsid w:val="004D62C4"/>
    <w:rsid w:val="004E283B"/>
    <w:rsid w:val="00503D71"/>
    <w:rsid w:val="00511D50"/>
    <w:rsid w:val="00520B0A"/>
    <w:rsid w:val="0056240E"/>
    <w:rsid w:val="00565461"/>
    <w:rsid w:val="00573189"/>
    <w:rsid w:val="00576369"/>
    <w:rsid w:val="00577ECF"/>
    <w:rsid w:val="005870D5"/>
    <w:rsid w:val="005902D9"/>
    <w:rsid w:val="005B52BE"/>
    <w:rsid w:val="005C087F"/>
    <w:rsid w:val="005D398A"/>
    <w:rsid w:val="005E02F3"/>
    <w:rsid w:val="005F49AB"/>
    <w:rsid w:val="0061590F"/>
    <w:rsid w:val="0063128E"/>
    <w:rsid w:val="00641248"/>
    <w:rsid w:val="006537E3"/>
    <w:rsid w:val="00656964"/>
    <w:rsid w:val="00663B60"/>
    <w:rsid w:val="006754B0"/>
    <w:rsid w:val="00681A39"/>
    <w:rsid w:val="006A13AE"/>
    <w:rsid w:val="006B61CC"/>
    <w:rsid w:val="006B6666"/>
    <w:rsid w:val="006D3645"/>
    <w:rsid w:val="006F1849"/>
    <w:rsid w:val="006F49C1"/>
    <w:rsid w:val="00707583"/>
    <w:rsid w:val="00713E61"/>
    <w:rsid w:val="0074127F"/>
    <w:rsid w:val="007913B0"/>
    <w:rsid w:val="00795F2D"/>
    <w:rsid w:val="007A19E1"/>
    <w:rsid w:val="007D4099"/>
    <w:rsid w:val="007E4B77"/>
    <w:rsid w:val="00802F4C"/>
    <w:rsid w:val="008158EA"/>
    <w:rsid w:val="00823ACC"/>
    <w:rsid w:val="00825C1B"/>
    <w:rsid w:val="008414C3"/>
    <w:rsid w:val="00851B55"/>
    <w:rsid w:val="00890F38"/>
    <w:rsid w:val="00892C4E"/>
    <w:rsid w:val="008954B7"/>
    <w:rsid w:val="008A7203"/>
    <w:rsid w:val="008F09FC"/>
    <w:rsid w:val="008F4F7F"/>
    <w:rsid w:val="00901F86"/>
    <w:rsid w:val="00904EBA"/>
    <w:rsid w:val="0090604F"/>
    <w:rsid w:val="00913C89"/>
    <w:rsid w:val="009202E6"/>
    <w:rsid w:val="00931851"/>
    <w:rsid w:val="00931F97"/>
    <w:rsid w:val="009325A7"/>
    <w:rsid w:val="0094583E"/>
    <w:rsid w:val="009744FC"/>
    <w:rsid w:val="00982172"/>
    <w:rsid w:val="00983A28"/>
    <w:rsid w:val="00996D21"/>
    <w:rsid w:val="009A0D3D"/>
    <w:rsid w:val="009A13D5"/>
    <w:rsid w:val="009C2014"/>
    <w:rsid w:val="009C21B3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446C"/>
    <w:rsid w:val="00AE52E8"/>
    <w:rsid w:val="00B05FFC"/>
    <w:rsid w:val="00B10595"/>
    <w:rsid w:val="00B20254"/>
    <w:rsid w:val="00B21166"/>
    <w:rsid w:val="00B328AD"/>
    <w:rsid w:val="00B41900"/>
    <w:rsid w:val="00B42693"/>
    <w:rsid w:val="00B74383"/>
    <w:rsid w:val="00B82834"/>
    <w:rsid w:val="00B970D8"/>
    <w:rsid w:val="00BE022B"/>
    <w:rsid w:val="00BE28BD"/>
    <w:rsid w:val="00BF7F51"/>
    <w:rsid w:val="00C46B87"/>
    <w:rsid w:val="00C530FF"/>
    <w:rsid w:val="00C73038"/>
    <w:rsid w:val="00C85828"/>
    <w:rsid w:val="00C9342F"/>
    <w:rsid w:val="00CB685A"/>
    <w:rsid w:val="00CF32A8"/>
    <w:rsid w:val="00CF7312"/>
    <w:rsid w:val="00D1758F"/>
    <w:rsid w:val="00D23BC7"/>
    <w:rsid w:val="00D41A07"/>
    <w:rsid w:val="00D42B5E"/>
    <w:rsid w:val="00D43323"/>
    <w:rsid w:val="00D47A4D"/>
    <w:rsid w:val="00D644B5"/>
    <w:rsid w:val="00D73687"/>
    <w:rsid w:val="00D73A3C"/>
    <w:rsid w:val="00D85250"/>
    <w:rsid w:val="00DB0C5F"/>
    <w:rsid w:val="00DB4A42"/>
    <w:rsid w:val="00DB5794"/>
    <w:rsid w:val="00DC7BDC"/>
    <w:rsid w:val="00DD49C1"/>
    <w:rsid w:val="00DE2156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1EEA"/>
    <w:rsid w:val="00EA259D"/>
    <w:rsid w:val="00EB20C0"/>
    <w:rsid w:val="00EC1070"/>
    <w:rsid w:val="00ED121A"/>
    <w:rsid w:val="00ED2940"/>
    <w:rsid w:val="00ED30B5"/>
    <w:rsid w:val="00ED736C"/>
    <w:rsid w:val="00EF070F"/>
    <w:rsid w:val="00F262EB"/>
    <w:rsid w:val="00F46437"/>
    <w:rsid w:val="00F720C6"/>
    <w:rsid w:val="00F746B7"/>
    <w:rsid w:val="00F97F45"/>
    <w:rsid w:val="00FC687D"/>
    <w:rsid w:val="00FE20EB"/>
    <w:rsid w:val="00FE4D40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121B4-80D0-4C1D-8FAA-581C57B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26</cp:revision>
  <cp:lastPrinted>2014-04-28T01:34:00Z</cp:lastPrinted>
  <dcterms:created xsi:type="dcterms:W3CDTF">2016-03-08T01:02:00Z</dcterms:created>
  <dcterms:modified xsi:type="dcterms:W3CDTF">2018-09-22T04:16:00Z</dcterms:modified>
</cp:coreProperties>
</file>